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6A1CB" w14:textId="7B47571B" w:rsidR="00460C45" w:rsidRPr="00F8468C" w:rsidRDefault="00BA4B44" w:rsidP="00460C45">
      <w:pPr>
        <w:spacing w:after="0" w:line="240" w:lineRule="auto"/>
        <w:rPr>
          <w:rFonts w:ascii="Arial" w:hAnsi="Arial" w:cs="Arial"/>
          <w:b/>
          <w:u w:val="single"/>
        </w:rPr>
      </w:pPr>
      <w:r w:rsidRPr="00F8468C">
        <w:rPr>
          <w:rFonts w:ascii="Arial" w:hAnsi="Arial" w:cs="Arial"/>
          <w:b/>
          <w:u w:val="single"/>
        </w:rPr>
        <w:t xml:space="preserve">BASIN BÜLTENİ                         </w:t>
      </w:r>
      <w:r w:rsidRPr="00F8468C">
        <w:rPr>
          <w:rFonts w:ascii="Arial" w:hAnsi="Arial" w:cs="Arial"/>
          <w:b/>
          <w:u w:val="single"/>
        </w:rPr>
        <w:tab/>
      </w:r>
      <w:r w:rsidRPr="00F8468C">
        <w:rPr>
          <w:rFonts w:ascii="Arial" w:hAnsi="Arial" w:cs="Arial"/>
          <w:b/>
          <w:u w:val="single"/>
        </w:rPr>
        <w:tab/>
      </w:r>
      <w:r w:rsidRPr="00F8468C">
        <w:rPr>
          <w:rFonts w:ascii="Arial" w:hAnsi="Arial" w:cs="Arial"/>
          <w:b/>
          <w:u w:val="single"/>
        </w:rPr>
        <w:tab/>
      </w:r>
      <w:r w:rsidRPr="00F8468C">
        <w:rPr>
          <w:rFonts w:ascii="Arial" w:hAnsi="Arial" w:cs="Arial"/>
          <w:b/>
          <w:u w:val="single"/>
        </w:rPr>
        <w:tab/>
        <w:t xml:space="preserve">                      Ağustos 2026                   </w:t>
      </w:r>
    </w:p>
    <w:p w14:paraId="586AE234" w14:textId="77777777" w:rsidR="00DC1D96" w:rsidRPr="00F8468C" w:rsidRDefault="00DC1D96" w:rsidP="00460C45">
      <w:pPr>
        <w:spacing w:after="0" w:line="240" w:lineRule="auto"/>
        <w:jc w:val="center"/>
        <w:rPr>
          <w:rFonts w:ascii="Arial" w:hAnsi="Arial" w:cs="Arial"/>
          <w:b/>
          <w:sz w:val="32"/>
          <w:szCs w:val="32"/>
        </w:rPr>
      </w:pPr>
    </w:p>
    <w:p w14:paraId="2099CCD1" w14:textId="39DE64B4" w:rsidR="00460C45" w:rsidRPr="00F8468C" w:rsidRDefault="0095169A" w:rsidP="00460C45">
      <w:pPr>
        <w:spacing w:after="0" w:line="240" w:lineRule="auto"/>
        <w:jc w:val="center"/>
        <w:rPr>
          <w:rFonts w:ascii="Arial" w:hAnsi="Arial" w:cs="Arial"/>
          <w:b/>
          <w:sz w:val="32"/>
          <w:szCs w:val="32"/>
        </w:rPr>
      </w:pPr>
      <w:r w:rsidRPr="00F8468C">
        <w:rPr>
          <w:rFonts w:ascii="Arial" w:hAnsi="Arial" w:cs="Arial"/>
          <w:b/>
          <w:sz w:val="32"/>
          <w:szCs w:val="32"/>
        </w:rPr>
        <w:t>İnşaat ve Hazır Beton Sektörlerinin Yapı Taşları</w:t>
      </w:r>
      <w:r w:rsidR="00460C45" w:rsidRPr="00F8468C">
        <w:rPr>
          <w:rFonts w:ascii="Arial" w:hAnsi="Arial" w:cs="Arial"/>
          <w:b/>
          <w:sz w:val="32"/>
          <w:szCs w:val="32"/>
        </w:rPr>
        <w:br/>
      </w:r>
      <w:r w:rsidRPr="00F8468C">
        <w:rPr>
          <w:rFonts w:ascii="Arial" w:hAnsi="Arial" w:cs="Arial"/>
          <w:b/>
          <w:sz w:val="32"/>
          <w:szCs w:val="32"/>
        </w:rPr>
        <w:t>“BETON 2027”de Buluşacak</w:t>
      </w:r>
    </w:p>
    <w:p w14:paraId="4753248C" w14:textId="77777777" w:rsidR="00460C45" w:rsidRPr="00F8468C" w:rsidRDefault="00460C45" w:rsidP="00460C45">
      <w:pPr>
        <w:spacing w:after="0" w:line="240" w:lineRule="auto"/>
        <w:jc w:val="center"/>
        <w:rPr>
          <w:rFonts w:ascii="Arial" w:hAnsi="Arial" w:cs="Arial"/>
          <w:b/>
        </w:rPr>
      </w:pPr>
    </w:p>
    <w:p w14:paraId="632F0BD0" w14:textId="727056D8" w:rsidR="007167C9" w:rsidRDefault="00B22303" w:rsidP="00460C45">
      <w:pPr>
        <w:spacing w:after="0" w:line="240" w:lineRule="auto"/>
        <w:jc w:val="both"/>
        <w:rPr>
          <w:rFonts w:ascii="Arial" w:hAnsi="Arial" w:cs="Arial"/>
          <w:b/>
        </w:rPr>
      </w:pPr>
      <w:r w:rsidRPr="00B22303">
        <w:rPr>
          <w:rFonts w:ascii="Arial" w:hAnsi="Arial" w:cs="Arial"/>
          <w:b/>
        </w:rPr>
        <w:t>Türkiye Hazır Beton Birliğinin TG Expo organizatörlüğünde düzenlediği "BETON 2027 Fuarı ve Kongresi", hazır beton, çimento, agrega ve inşaat sektörlerini aynı çatı altında buluşturacak. BETON 2027 Hazır Beton Kongresi 1-3 Aralık 2027 tarihlerinde; BETON 2027 Hazır Beton, Çimento, Agrega, İnşaat Teknolojileri ve Ekipmanları Fuarı ise 1-4 Aralık 2027 tarihlerinde Yeşilköy'de İstanbul Fuar Merkezinde düzenlenecek.</w:t>
      </w:r>
    </w:p>
    <w:p w14:paraId="53DEA84B" w14:textId="77777777" w:rsidR="00B22303" w:rsidRPr="00F8468C" w:rsidRDefault="00B22303" w:rsidP="00460C45">
      <w:pPr>
        <w:spacing w:after="0" w:line="240" w:lineRule="auto"/>
        <w:jc w:val="both"/>
        <w:rPr>
          <w:rFonts w:ascii="Arial" w:hAnsi="Arial" w:cs="Arial"/>
          <w:b/>
        </w:rPr>
      </w:pPr>
    </w:p>
    <w:p w14:paraId="2ADBDBC1" w14:textId="77777777" w:rsidR="00CC154C" w:rsidRPr="00CC154C" w:rsidRDefault="00CC154C" w:rsidP="00CC154C">
      <w:pPr>
        <w:spacing w:after="0" w:line="240" w:lineRule="auto"/>
        <w:jc w:val="both"/>
        <w:rPr>
          <w:rFonts w:ascii="Arial" w:hAnsi="Arial" w:cs="Arial"/>
          <w:iCs/>
          <w:color w:val="000000"/>
        </w:rPr>
      </w:pPr>
      <w:r w:rsidRPr="00CC154C">
        <w:rPr>
          <w:rFonts w:ascii="Arial" w:hAnsi="Arial" w:cs="Arial"/>
          <w:iCs/>
          <w:color w:val="000000"/>
        </w:rPr>
        <w:t>Hazır beton sektörü, resmî verilere göre 293 milyar TL'lik cirosu, 5 bini aşan istihdam hacmi ve yıllık 140 milyon metreküplük üretimiyle Türkiye ekonomisi ve inşaat sektörü açısından çok önemli bir yer teşkil ediyor. Bu kapsamda da Türkiye'nin ve yakın coğrafyanın en önemli fuar ve kongresine ev sahipliği yapacak olan "BETON 2027", sektörün tüm paydaşlarını aynı çatı altında buluşturacak.</w:t>
      </w:r>
    </w:p>
    <w:p w14:paraId="1970BE04" w14:textId="77777777" w:rsidR="00CC154C" w:rsidRPr="00F8468C" w:rsidRDefault="00CC154C" w:rsidP="00460C45">
      <w:pPr>
        <w:spacing w:after="0" w:line="240" w:lineRule="auto"/>
        <w:jc w:val="both"/>
        <w:rPr>
          <w:rFonts w:ascii="Arial" w:hAnsi="Arial" w:cs="Arial"/>
          <w:iCs/>
          <w:color w:val="000000"/>
        </w:rPr>
      </w:pPr>
    </w:p>
    <w:p w14:paraId="37B619BA" w14:textId="77777777" w:rsidR="00020169" w:rsidRPr="00020169" w:rsidRDefault="00020169" w:rsidP="00020169">
      <w:pPr>
        <w:jc w:val="both"/>
        <w:rPr>
          <w:rFonts w:ascii="Arial" w:hAnsi="Arial" w:cs="Arial"/>
        </w:rPr>
      </w:pPr>
      <w:r w:rsidRPr="00020169">
        <w:rPr>
          <w:rFonts w:ascii="Arial" w:hAnsi="Arial" w:cs="Arial"/>
        </w:rPr>
        <w:t>Türkiye Hazır Beton Birliğinin TG Expo organizatörlüğünde düzenlediği "BETON 2027 Hazır Beton Kongresi ve Hazır Beton, Çimento, Agrega, İnşaat Teknolojileri ve Ekipmanları Fuarı", inşaat, hazır beton ve agrega sektörlerini İstanbul'da bir araya getirecek. Fuar, Yeşilköy'de İstanbul Fuar Merkezinin 2, 4 ve 8'inci salonlarında, 1-4 Aralık 2027 tarihlerinde yapılacak.</w:t>
      </w:r>
    </w:p>
    <w:p w14:paraId="6005CABC" w14:textId="77777777" w:rsidR="00020169" w:rsidRPr="00020169" w:rsidRDefault="00020169" w:rsidP="00020169">
      <w:pPr>
        <w:jc w:val="both"/>
        <w:rPr>
          <w:rFonts w:ascii="Arial" w:hAnsi="Arial" w:cs="Arial"/>
        </w:rPr>
      </w:pPr>
      <w:r w:rsidRPr="00020169">
        <w:rPr>
          <w:rFonts w:ascii="Arial" w:hAnsi="Arial" w:cs="Arial"/>
        </w:rPr>
        <w:t>THBB, sektörün gelişmesi ve firmalar arasında bilgi alışverişini sağlamak, sektörün vizyonunu ve yol haritasını belirlemek için etkinlikler düzenlemeye devam ediyor. 1995 ve 2015 yıllarında uluslararası ERMCO Avrupa Hazır Beton Kongre ve Fuarlarını, 2004-2025 yılları arasında da 7 hazır beton kongresi ve 12 beton fuarı düzenleyen THBB, 13. Beton Fuarı olan BETON 2027'yi düzenlemek için hazırlıklarını sürdürüyor.</w:t>
      </w:r>
    </w:p>
    <w:p w14:paraId="7DAE7034" w14:textId="44CFEA27" w:rsidR="0095169A" w:rsidRPr="00F8468C" w:rsidRDefault="0095169A" w:rsidP="00460C45">
      <w:pPr>
        <w:jc w:val="both"/>
        <w:rPr>
          <w:rFonts w:ascii="Arial" w:hAnsi="Arial" w:cs="Arial"/>
          <w:b/>
        </w:rPr>
      </w:pPr>
      <w:r w:rsidRPr="00F8468C">
        <w:rPr>
          <w:rFonts w:ascii="Arial" w:hAnsi="Arial" w:cs="Arial"/>
          <w:b/>
        </w:rPr>
        <w:t>Hazır Beton Kongresi Sektöre Değer Katacak</w:t>
      </w:r>
    </w:p>
    <w:p w14:paraId="2B4757F0" w14:textId="796C82C1" w:rsidR="00460C45" w:rsidRDefault="00207E9E" w:rsidP="00460C45">
      <w:pPr>
        <w:jc w:val="both"/>
        <w:rPr>
          <w:rFonts w:ascii="Arial" w:hAnsi="Arial" w:cs="Arial"/>
        </w:rPr>
      </w:pPr>
      <w:r w:rsidRPr="00207E9E">
        <w:rPr>
          <w:rFonts w:ascii="Arial" w:hAnsi="Arial" w:cs="Arial"/>
        </w:rPr>
        <w:t>BETON 2027 Kongresi'nde; sürdürülebilirlik, döngüsel ekonomi ve net sıfır karbon hedefleri, yapay zekâ, dijital dönüşüm ve akıllı üretim teknolojileri, düşük karbonlu beton teknolojileri ve alternatif bağlayıcılar, performans esaslı tasarım ve dayanıklılık, depreme ve iklim değişikliğine dirençli yapılar, kaynak verimliliği, hazır beton sektöründeki yenilikçi teknolojiler ve uygulamalar başta olmak üzere, beton sektörünün geleceğine yön verecek birçok güncel ve öncelikli konuda bilimsel ve</w:t>
      </w:r>
      <w:r>
        <w:rPr>
          <w:rFonts w:ascii="Arial" w:hAnsi="Arial" w:cs="Arial"/>
        </w:rPr>
        <w:t xml:space="preserve"> teknik bildiriler sunulacak.</w:t>
      </w:r>
    </w:p>
    <w:p w14:paraId="36C6886D" w14:textId="77777777" w:rsidR="00207E9E" w:rsidRPr="00F8468C" w:rsidRDefault="00207E9E" w:rsidP="00460C45">
      <w:pPr>
        <w:jc w:val="both"/>
        <w:rPr>
          <w:rFonts w:ascii="Arial" w:hAnsi="Arial" w:cs="Arial"/>
        </w:rPr>
      </w:pPr>
    </w:p>
    <w:p w14:paraId="6B055D57" w14:textId="77777777" w:rsidR="00460C45" w:rsidRPr="00F8468C" w:rsidRDefault="00460C45" w:rsidP="00460C45">
      <w:pPr>
        <w:jc w:val="both"/>
        <w:rPr>
          <w:rFonts w:ascii="Arial" w:hAnsi="Arial" w:cs="Arial"/>
          <w:b/>
          <w:szCs w:val="28"/>
        </w:rPr>
      </w:pPr>
    </w:p>
    <w:p w14:paraId="47DACA91" w14:textId="2E89F34D" w:rsidR="00460C45" w:rsidRPr="00F8468C" w:rsidRDefault="00460C45" w:rsidP="00460C45">
      <w:pPr>
        <w:jc w:val="both"/>
        <w:rPr>
          <w:rFonts w:ascii="Arial" w:hAnsi="Arial" w:cs="Arial"/>
          <w:b/>
          <w:szCs w:val="28"/>
        </w:rPr>
      </w:pPr>
      <w:r w:rsidRPr="00F8468C">
        <w:rPr>
          <w:rFonts w:ascii="Arial" w:hAnsi="Arial" w:cs="Arial"/>
          <w:b/>
          <w:szCs w:val="28"/>
        </w:rPr>
        <w:lastRenderedPageBreak/>
        <w:t>Yılın En Önemli Sektörel Buluşması: BETON 202</w:t>
      </w:r>
      <w:r w:rsidR="007167C9" w:rsidRPr="00F8468C">
        <w:rPr>
          <w:rFonts w:ascii="Arial" w:hAnsi="Arial" w:cs="Arial"/>
          <w:b/>
          <w:szCs w:val="28"/>
        </w:rPr>
        <w:t>7</w:t>
      </w:r>
      <w:r w:rsidRPr="00F8468C">
        <w:rPr>
          <w:rFonts w:ascii="Arial" w:hAnsi="Arial" w:cs="Arial"/>
          <w:b/>
          <w:szCs w:val="28"/>
        </w:rPr>
        <w:t xml:space="preserve"> Fuarı</w:t>
      </w:r>
    </w:p>
    <w:p w14:paraId="4C0C73CB" w14:textId="77777777" w:rsidR="00020169" w:rsidRPr="00020169" w:rsidRDefault="00020169" w:rsidP="00020169">
      <w:pPr>
        <w:jc w:val="both"/>
        <w:rPr>
          <w:rFonts w:ascii="Arial" w:hAnsi="Arial" w:cs="Arial"/>
        </w:rPr>
      </w:pPr>
      <w:r w:rsidRPr="00020169">
        <w:rPr>
          <w:rFonts w:ascii="Arial" w:hAnsi="Arial" w:cs="Arial"/>
          <w:b/>
          <w:bCs/>
        </w:rPr>
        <w:t>BETON 2027</w:t>
      </w:r>
      <w:r w:rsidRPr="00020169">
        <w:rPr>
          <w:rFonts w:ascii="Arial" w:hAnsi="Arial" w:cs="Arial"/>
        </w:rPr>
        <w:t xml:space="preserve"> Hazır Beton Kongresinin yanı sıra Türkiye Hazır Beton Birliğinin TG Expo organizatörlüğünde düzenlediği "</w:t>
      </w:r>
      <w:r w:rsidRPr="00020169">
        <w:rPr>
          <w:rFonts w:ascii="Arial" w:hAnsi="Arial" w:cs="Arial"/>
          <w:b/>
          <w:bCs/>
        </w:rPr>
        <w:t>BETON 2027 Hazır Beton, Çimento, Agrega, İnşaat Teknolojileri ve Ekipmanları Fuarı</w:t>
      </w:r>
      <w:r w:rsidRPr="00020169">
        <w:rPr>
          <w:rFonts w:ascii="Arial" w:hAnsi="Arial" w:cs="Arial"/>
        </w:rPr>
        <w:t xml:space="preserve">", hazır beton sektörüyle ilgili en önemli ortak platform olacak. </w:t>
      </w:r>
      <w:r w:rsidRPr="00020169">
        <w:rPr>
          <w:rFonts w:ascii="Arial" w:hAnsi="Arial" w:cs="Arial"/>
          <w:b/>
          <w:bCs/>
        </w:rPr>
        <w:t>1-4 Aralık 2027</w:t>
      </w:r>
      <w:r w:rsidRPr="00020169">
        <w:rPr>
          <w:rFonts w:ascii="Arial" w:hAnsi="Arial" w:cs="Arial"/>
        </w:rPr>
        <w:t xml:space="preserve"> tarihleri arasında İstanbul Fuar Merkezinin </w:t>
      </w:r>
      <w:r w:rsidRPr="00020169">
        <w:rPr>
          <w:rFonts w:ascii="Arial" w:hAnsi="Arial" w:cs="Arial"/>
          <w:b/>
          <w:bCs/>
        </w:rPr>
        <w:t>2, 4</w:t>
      </w:r>
      <w:r w:rsidRPr="00020169">
        <w:rPr>
          <w:rFonts w:ascii="Arial" w:hAnsi="Arial" w:cs="Arial"/>
        </w:rPr>
        <w:t xml:space="preserve"> ve </w:t>
      </w:r>
      <w:r w:rsidRPr="00020169">
        <w:rPr>
          <w:rFonts w:ascii="Arial" w:hAnsi="Arial" w:cs="Arial"/>
          <w:b/>
          <w:bCs/>
        </w:rPr>
        <w:t>8</w:t>
      </w:r>
      <w:r w:rsidRPr="00020169">
        <w:rPr>
          <w:rFonts w:ascii="Arial" w:hAnsi="Arial" w:cs="Arial"/>
        </w:rPr>
        <w:t>'inci salonlarında düzenlenecek fuarda, inşaat, hazır beton, çimento ve agrega sektörleri ile ilgili son teknolojik ürünler, araç, makine ve ekipmanlar, hizmet ve donanımlar sergilenecek. Fuarda hazır beton ve agrega ekipmanlarının yanı sıra beton santralleri, iş makineleri, kamyon ve çekiciler, transmikserler, beton pompaları, kalıp sistemleri, vinçler, çeşitli beton kimyasalları, otomasyon sistemleri, lastik ve akaryakıt ürünleri, sektörel makineler başta olmak üzere çok geniş bir ürün yelpazesi hazır beton ve agrega üreticilerine ve inşaat yapımcılarına sunulacak.</w:t>
      </w:r>
    </w:p>
    <w:p w14:paraId="713C2FC0" w14:textId="77777777" w:rsidR="00C740BC" w:rsidRPr="00C740BC" w:rsidRDefault="00C740BC" w:rsidP="00C740BC">
      <w:pPr>
        <w:jc w:val="both"/>
        <w:rPr>
          <w:rFonts w:ascii="Arial" w:hAnsi="Arial" w:cs="Arial"/>
        </w:rPr>
      </w:pPr>
      <w:r w:rsidRPr="00C740BC">
        <w:rPr>
          <w:rFonts w:ascii="Arial" w:hAnsi="Arial" w:cs="Arial"/>
        </w:rPr>
        <w:t>Avrupa, Asya, Afrika ve Orta Doğu'dan çok sayıda profesyonel katılımcının ziyaret etmesi beklenen Fuar, ekonominin lokomotifi inşaat ve onun en temel kolu hazır beton ile ilgili sektörlerden birçok firmayı aynı çatı altında buluşturacak.</w:t>
      </w:r>
    </w:p>
    <w:p w14:paraId="2D00C0FA" w14:textId="0E8E4390" w:rsidR="00C740BC" w:rsidRPr="00C740BC" w:rsidRDefault="00C740BC" w:rsidP="00C740BC">
      <w:pPr>
        <w:jc w:val="both"/>
        <w:rPr>
          <w:rFonts w:ascii="Arial" w:hAnsi="Arial" w:cs="Arial"/>
        </w:rPr>
      </w:pPr>
      <w:r w:rsidRPr="00C740BC">
        <w:rPr>
          <w:rFonts w:ascii="Arial" w:hAnsi="Arial" w:cs="Arial"/>
        </w:rPr>
        <w:t>İstanbul Fuar Merkezinde toplam 18.000 metrekarelik alanda düzenlenecek olan BETON 2027; Beton Sürdürülebilirlik Konseyi (CSC), Avr</w:t>
      </w:r>
      <w:r w:rsidR="00207E9E">
        <w:rPr>
          <w:rFonts w:ascii="Arial" w:hAnsi="Arial" w:cs="Arial"/>
        </w:rPr>
        <w:t>upa Hazır Beton Birliği (ERMCO) ve</w:t>
      </w:r>
      <w:r w:rsidRPr="00C740BC">
        <w:rPr>
          <w:rFonts w:ascii="Arial" w:hAnsi="Arial" w:cs="Arial"/>
        </w:rPr>
        <w:t xml:space="preserve"> Türkiye İnşaat Malzemesi Sanayi</w:t>
      </w:r>
      <w:r w:rsidR="00207E9E">
        <w:rPr>
          <w:rFonts w:ascii="Arial" w:hAnsi="Arial" w:cs="Arial"/>
        </w:rPr>
        <w:t xml:space="preserve">cileri Derneği (Türkiye İMSAD) </w:t>
      </w:r>
      <w:r w:rsidRPr="00C740BC">
        <w:rPr>
          <w:rFonts w:ascii="Arial" w:hAnsi="Arial" w:cs="Arial"/>
        </w:rPr>
        <w:t>tarafından destekleniyor. Fuar; ilgili sektörlerden 195'in üzerinde katılımcı marka ile Avrupa, Asya, Afrika ve Orta Doğu'dan 3 bini yabancı olmak üzere toplamda 20 binden fazla sektör profesyonelini ağırlayacak.</w:t>
      </w:r>
    </w:p>
    <w:p w14:paraId="3F79444D" w14:textId="5834E708" w:rsidR="00460C45" w:rsidRPr="00F8468C" w:rsidRDefault="0095169A" w:rsidP="00460C45">
      <w:pPr>
        <w:jc w:val="both"/>
        <w:rPr>
          <w:rFonts w:ascii="Arial" w:hAnsi="Arial" w:cs="Arial"/>
        </w:rPr>
      </w:pPr>
      <w:r w:rsidRPr="00F8468C">
        <w:rPr>
          <w:rFonts w:ascii="Arial" w:hAnsi="Arial" w:cs="Arial"/>
        </w:rPr>
        <w:t>BETON 2027</w:t>
      </w:r>
      <w:r w:rsidR="00460C45" w:rsidRPr="00F8468C">
        <w:rPr>
          <w:rFonts w:ascii="Arial" w:hAnsi="Arial" w:cs="Arial"/>
        </w:rPr>
        <w:t xml:space="preserve"> Fuarı</w:t>
      </w:r>
      <w:r w:rsidR="000849AE" w:rsidRPr="00F8468C">
        <w:rPr>
          <w:rFonts w:ascii="Arial" w:hAnsi="Arial" w:cs="Arial"/>
        </w:rPr>
        <w:t xml:space="preserve"> ve Kongresi</w:t>
      </w:r>
      <w:r w:rsidR="00460C45" w:rsidRPr="00F8468C">
        <w:rPr>
          <w:rFonts w:ascii="Arial" w:hAnsi="Arial" w:cs="Arial"/>
        </w:rPr>
        <w:t xml:space="preserve"> ile ilgili gelişmeler </w:t>
      </w:r>
      <w:hyperlink r:id="rId7" w:history="1">
        <w:r w:rsidRPr="00F8468C">
          <w:rPr>
            <w:rStyle w:val="Kpr"/>
            <w:rFonts w:ascii="Arial" w:hAnsi="Arial" w:cs="Arial"/>
          </w:rPr>
          <w:t>www.betonfuarivekongresi.com</w:t>
        </w:r>
      </w:hyperlink>
      <w:r w:rsidRPr="00F8468C">
        <w:rPr>
          <w:rFonts w:ascii="Arial" w:hAnsi="Arial" w:cs="Arial"/>
        </w:rPr>
        <w:t xml:space="preserve">  </w:t>
      </w:r>
      <w:r w:rsidR="00460C45" w:rsidRPr="00F8468C">
        <w:rPr>
          <w:rFonts w:ascii="Arial" w:hAnsi="Arial" w:cs="Arial"/>
        </w:rPr>
        <w:t>adresinden takip edilebilir.</w:t>
      </w:r>
    </w:p>
    <w:p w14:paraId="2A3E053B" w14:textId="77777777" w:rsidR="00460C45" w:rsidRPr="00F8468C" w:rsidRDefault="00460C45" w:rsidP="00460C45">
      <w:pPr>
        <w:spacing w:after="0" w:line="240" w:lineRule="auto"/>
        <w:jc w:val="both"/>
        <w:rPr>
          <w:rFonts w:ascii="Arial" w:hAnsi="Arial" w:cs="Arial"/>
          <w:b/>
          <w:bCs/>
          <w:sz w:val="18"/>
          <w:szCs w:val="18"/>
          <w:u w:val="single"/>
        </w:rPr>
      </w:pPr>
    </w:p>
    <w:p w14:paraId="7FE34CA1" w14:textId="47E20AD4" w:rsidR="0095169A" w:rsidRPr="00F8468C" w:rsidRDefault="0095169A" w:rsidP="0095169A">
      <w:pPr>
        <w:jc w:val="both"/>
        <w:rPr>
          <w:rFonts w:ascii="Arial" w:hAnsi="Arial" w:cs="Arial"/>
          <w:b/>
        </w:rPr>
      </w:pPr>
      <w:r w:rsidRPr="00F8468C">
        <w:rPr>
          <w:rFonts w:ascii="Arial" w:hAnsi="Arial" w:cs="Arial"/>
          <w:b/>
        </w:rPr>
        <w:t>BETON Fuarı ve Kongresi hakkında</w:t>
      </w:r>
    </w:p>
    <w:p w14:paraId="73F4248F" w14:textId="77777777" w:rsidR="00C740BC" w:rsidRPr="00C740BC" w:rsidRDefault="00C740BC" w:rsidP="00C740BC">
      <w:pPr>
        <w:jc w:val="both"/>
        <w:rPr>
          <w:rFonts w:ascii="Arial" w:hAnsi="Arial" w:cs="Arial"/>
        </w:rPr>
      </w:pPr>
      <w:r w:rsidRPr="00C740BC">
        <w:rPr>
          <w:rFonts w:ascii="Arial" w:hAnsi="Arial" w:cs="Arial"/>
        </w:rPr>
        <w:t>2023 yılında düzenlenen BETON Kongresinde, sektörün gelişimine katkı sağlayan 21'i çağrılı bildiri olmak üzere toplam 95 bildiri sunuldu; Kongreyi, akademisyenler ve araştırmacıların yanı sıra hazır beton sektörünün ve yan sanayi firmalarının temsilcilerinden oluşan yaklaşık 1.000 delege takip etti.</w:t>
      </w:r>
    </w:p>
    <w:p w14:paraId="1DB0C396" w14:textId="77777777" w:rsidR="00C740BC" w:rsidRPr="00C740BC" w:rsidRDefault="00C740BC" w:rsidP="00C740BC">
      <w:pPr>
        <w:jc w:val="both"/>
        <w:rPr>
          <w:rFonts w:ascii="Arial" w:hAnsi="Arial" w:cs="Arial"/>
        </w:rPr>
      </w:pPr>
      <w:r w:rsidRPr="00C740BC">
        <w:rPr>
          <w:rFonts w:ascii="Arial" w:hAnsi="Arial" w:cs="Arial"/>
        </w:rPr>
        <w:t xml:space="preserve">2025 yılında düzenlenen BETON Fuarı, sektörün ticari hacmini artıran önemli bir platform olarak öne çıktı; 100'ün üzerinde firma; hazır beton, çimento, agrega, inşaat teknolojileri ve ekipmanlarını sergiledi. Türkiye'nin dört bir yanından gelen sektör profesyonellerinin yanı sıra Avrupa, Balkanlar, Rusya, Azerbaycan, Körfez Ülkeleri, Bağımsız Devletler Topluluğu, Kuzey Afrika ve Sahra Altı Afrika başta </w:t>
      </w:r>
      <w:r w:rsidRPr="00C740BC">
        <w:rPr>
          <w:rFonts w:ascii="Arial" w:hAnsi="Arial" w:cs="Arial"/>
        </w:rPr>
        <w:lastRenderedPageBreak/>
        <w:t>olmak üzere 71 ülkeden 3 bini yabancı olmak üzere 15 bini aşkın ziyaretçi fuarı takip etti; etkinlik, sektörün en büyük uluslararası buluşmalarından biri hâline geldi.</w:t>
      </w:r>
    </w:p>
    <w:p w14:paraId="1D1A7B6A" w14:textId="77777777" w:rsidR="0095169A" w:rsidRPr="00F8468C" w:rsidRDefault="0095169A" w:rsidP="00460C45">
      <w:pPr>
        <w:jc w:val="both"/>
        <w:rPr>
          <w:rFonts w:ascii="Arial" w:hAnsi="Arial" w:cs="Arial"/>
          <w:b/>
          <w:bCs/>
          <w:sz w:val="18"/>
          <w:szCs w:val="18"/>
          <w:u w:val="single"/>
        </w:rPr>
      </w:pPr>
    </w:p>
    <w:p w14:paraId="285B784F" w14:textId="77777777" w:rsidR="00460C45" w:rsidRPr="00AB2E97" w:rsidRDefault="00460C45" w:rsidP="00460C45">
      <w:pPr>
        <w:jc w:val="both"/>
        <w:rPr>
          <w:rFonts w:ascii="Arial" w:hAnsi="Arial" w:cs="Arial"/>
          <w:b/>
          <w:bCs/>
          <w:sz w:val="18"/>
          <w:szCs w:val="18"/>
          <w:u w:val="single"/>
        </w:rPr>
      </w:pPr>
      <w:r w:rsidRPr="00AB2E97">
        <w:rPr>
          <w:rFonts w:ascii="Arial" w:hAnsi="Arial" w:cs="Arial"/>
          <w:b/>
          <w:bCs/>
          <w:sz w:val="18"/>
          <w:szCs w:val="18"/>
          <w:u w:val="single"/>
        </w:rPr>
        <w:t>Türkiye Hazır Beton Birliği Hakkında</w:t>
      </w:r>
    </w:p>
    <w:p w14:paraId="1EC45E38" w14:textId="77777777" w:rsidR="00C740BC" w:rsidRPr="00AB2E97" w:rsidRDefault="00C740BC" w:rsidP="00C740BC">
      <w:pPr>
        <w:jc w:val="both"/>
        <w:rPr>
          <w:rFonts w:ascii="Arial" w:eastAsia="Times New Roman" w:hAnsi="Arial" w:cs="Arial"/>
          <w:bCs/>
          <w:kern w:val="0"/>
          <w:sz w:val="18"/>
          <w:szCs w:val="18"/>
          <w:lang w:eastAsia="ar-SA"/>
          <w14:ligatures w14:val="none"/>
        </w:rPr>
      </w:pPr>
      <w:r w:rsidRPr="00AB2E97">
        <w:rPr>
          <w:rFonts w:ascii="Arial" w:eastAsia="Times New Roman" w:hAnsi="Arial" w:cs="Arial"/>
          <w:bCs/>
          <w:kern w:val="0"/>
          <w:sz w:val="18"/>
          <w:szCs w:val="18"/>
          <w:lang w:eastAsia="ar-SA"/>
          <w14:ligatures w14:val="none"/>
        </w:rPr>
        <w:t>Türkiye Hazır Beton Birliği (THBB), 1988 yılından beri güvenli ve dayanıklı yapıların inşası amacıyla standartlara uygun beton üretilmesi, tekniğine uygun beton uygulamalarının yaygınlaşması ve Türkiye'de kaliteli, dayanıklı, yüksek dayanım sınıflarında beton kullanılması için uğraş veren mesleki bir kuruluştur. THBB; Avrupa Hazır Beton Birliği (ERMCO) ve Beton Sürdürülebilirlik Konseyi (</w:t>
      </w:r>
      <w:proofErr w:type="spellStart"/>
      <w:r w:rsidRPr="00AB2E97">
        <w:rPr>
          <w:rFonts w:ascii="Arial" w:eastAsia="Times New Roman" w:hAnsi="Arial" w:cs="Arial"/>
          <w:bCs/>
          <w:kern w:val="0"/>
          <w:sz w:val="18"/>
          <w:szCs w:val="18"/>
          <w:lang w:eastAsia="ar-SA"/>
          <w14:ligatures w14:val="none"/>
        </w:rPr>
        <w:t>The</w:t>
      </w:r>
      <w:proofErr w:type="spellEnd"/>
      <w:r w:rsidRPr="00AB2E97">
        <w:rPr>
          <w:rFonts w:ascii="Arial" w:eastAsia="Times New Roman" w:hAnsi="Arial" w:cs="Arial"/>
          <w:bCs/>
          <w:kern w:val="0"/>
          <w:sz w:val="18"/>
          <w:szCs w:val="18"/>
          <w:lang w:eastAsia="ar-SA"/>
          <w14:ligatures w14:val="none"/>
        </w:rPr>
        <w:t xml:space="preserve"> </w:t>
      </w:r>
      <w:proofErr w:type="spellStart"/>
      <w:r w:rsidRPr="00AB2E97">
        <w:rPr>
          <w:rFonts w:ascii="Arial" w:eastAsia="Times New Roman" w:hAnsi="Arial" w:cs="Arial"/>
          <w:bCs/>
          <w:kern w:val="0"/>
          <w:sz w:val="18"/>
          <w:szCs w:val="18"/>
          <w:lang w:eastAsia="ar-SA"/>
          <w14:ligatures w14:val="none"/>
        </w:rPr>
        <w:t>Concrete</w:t>
      </w:r>
      <w:proofErr w:type="spellEnd"/>
      <w:r w:rsidRPr="00AB2E97">
        <w:rPr>
          <w:rFonts w:ascii="Arial" w:eastAsia="Times New Roman" w:hAnsi="Arial" w:cs="Arial"/>
          <w:bCs/>
          <w:kern w:val="0"/>
          <w:sz w:val="18"/>
          <w:szCs w:val="18"/>
          <w:lang w:eastAsia="ar-SA"/>
          <w14:ligatures w14:val="none"/>
        </w:rPr>
        <w:t xml:space="preserve"> </w:t>
      </w:r>
      <w:proofErr w:type="spellStart"/>
      <w:r w:rsidRPr="00AB2E97">
        <w:rPr>
          <w:rFonts w:ascii="Arial" w:eastAsia="Times New Roman" w:hAnsi="Arial" w:cs="Arial"/>
          <w:bCs/>
          <w:kern w:val="0"/>
          <w:sz w:val="18"/>
          <w:szCs w:val="18"/>
          <w:lang w:eastAsia="ar-SA"/>
          <w14:ligatures w14:val="none"/>
        </w:rPr>
        <w:t>Sustainability</w:t>
      </w:r>
      <w:proofErr w:type="spellEnd"/>
      <w:r w:rsidRPr="00AB2E97">
        <w:rPr>
          <w:rFonts w:ascii="Arial" w:eastAsia="Times New Roman" w:hAnsi="Arial" w:cs="Arial"/>
          <w:bCs/>
          <w:kern w:val="0"/>
          <w:sz w:val="18"/>
          <w:szCs w:val="18"/>
          <w:lang w:eastAsia="ar-SA"/>
          <w14:ligatures w14:val="none"/>
        </w:rPr>
        <w:t xml:space="preserve"> </w:t>
      </w:r>
      <w:proofErr w:type="spellStart"/>
      <w:r w:rsidRPr="00AB2E97">
        <w:rPr>
          <w:rFonts w:ascii="Arial" w:eastAsia="Times New Roman" w:hAnsi="Arial" w:cs="Arial"/>
          <w:bCs/>
          <w:kern w:val="0"/>
          <w:sz w:val="18"/>
          <w:szCs w:val="18"/>
          <w:lang w:eastAsia="ar-SA"/>
          <w14:ligatures w14:val="none"/>
        </w:rPr>
        <w:t>Council</w:t>
      </w:r>
      <w:proofErr w:type="spellEnd"/>
      <w:r w:rsidRPr="00AB2E97">
        <w:rPr>
          <w:rFonts w:ascii="Arial" w:eastAsia="Times New Roman" w:hAnsi="Arial" w:cs="Arial"/>
          <w:bCs/>
          <w:kern w:val="0"/>
          <w:sz w:val="18"/>
          <w:szCs w:val="18"/>
          <w:lang w:eastAsia="ar-SA"/>
          <w14:ligatures w14:val="none"/>
        </w:rPr>
        <w:t xml:space="preserve">) üyesi olup Beton Sürdürülebilirlik Konseyinin "Bölgesel Sistem </w:t>
      </w:r>
      <w:proofErr w:type="spellStart"/>
      <w:r w:rsidRPr="00AB2E97">
        <w:rPr>
          <w:rFonts w:ascii="Arial" w:eastAsia="Times New Roman" w:hAnsi="Arial" w:cs="Arial"/>
          <w:bCs/>
          <w:kern w:val="0"/>
          <w:sz w:val="18"/>
          <w:szCs w:val="18"/>
          <w:lang w:eastAsia="ar-SA"/>
          <w14:ligatures w14:val="none"/>
        </w:rPr>
        <w:t>Operatörü"dür</w:t>
      </w:r>
      <w:proofErr w:type="spellEnd"/>
      <w:r w:rsidRPr="00AB2E97">
        <w:rPr>
          <w:rFonts w:ascii="Arial" w:eastAsia="Times New Roman" w:hAnsi="Arial" w:cs="Arial"/>
          <w:bCs/>
          <w:kern w:val="0"/>
          <w:sz w:val="18"/>
          <w:szCs w:val="18"/>
          <w:lang w:eastAsia="ar-SA"/>
          <w14:ligatures w14:val="none"/>
        </w:rPr>
        <w:t xml:space="preserve">. </w:t>
      </w:r>
      <w:proofErr w:type="spellStart"/>
      <w:r w:rsidRPr="00AB2E97">
        <w:rPr>
          <w:rFonts w:ascii="Arial" w:eastAsia="Times New Roman" w:hAnsi="Arial" w:cs="Arial"/>
          <w:bCs/>
          <w:kern w:val="0"/>
          <w:sz w:val="18"/>
          <w:szCs w:val="18"/>
          <w:lang w:eastAsia="ar-SA"/>
          <w14:ligatures w14:val="none"/>
        </w:rPr>
        <w:t>THBB'ye</w:t>
      </w:r>
      <w:proofErr w:type="spellEnd"/>
      <w:r w:rsidRPr="00AB2E97">
        <w:rPr>
          <w:rFonts w:ascii="Arial" w:eastAsia="Times New Roman" w:hAnsi="Arial" w:cs="Arial"/>
          <w:bCs/>
          <w:kern w:val="0"/>
          <w:sz w:val="18"/>
          <w:szCs w:val="18"/>
          <w:lang w:eastAsia="ar-SA"/>
          <w14:ligatures w14:val="none"/>
        </w:rPr>
        <w:t xml:space="preserve"> üye olacak şirketlerin bütün hazır beton tesislerinde standartlara uygun üretim yapması, THBB Kalite Güvence Sisteminin (KGS) sürekli habersiz denetimlerine tabi olarak KGS Uygunluk Belgesi alması, uygun laboratuvar bulundurması, teknik, çevre, iş sağlığı ve güvenliği, yasal ve etik kriterleri eksiksiz yerine getirmesi zorunludur.</w:t>
      </w:r>
    </w:p>
    <w:p w14:paraId="5A808060" w14:textId="77777777" w:rsidR="00460C45" w:rsidRPr="00AB2E97" w:rsidRDefault="00460C45" w:rsidP="00460C45">
      <w:pPr>
        <w:jc w:val="both"/>
        <w:rPr>
          <w:rFonts w:ascii="Arial" w:hAnsi="Arial" w:cs="Arial"/>
          <w:b/>
          <w:sz w:val="18"/>
          <w:szCs w:val="18"/>
          <w:u w:val="single"/>
        </w:rPr>
      </w:pPr>
      <w:r w:rsidRPr="00AB2E97">
        <w:rPr>
          <w:rFonts w:ascii="Arial" w:hAnsi="Arial" w:cs="Arial"/>
          <w:b/>
          <w:sz w:val="18"/>
          <w:szCs w:val="18"/>
          <w:u w:val="single"/>
        </w:rPr>
        <w:t>TG Expo Hakkında</w:t>
      </w:r>
    </w:p>
    <w:p w14:paraId="7BBFE468" w14:textId="77777777" w:rsidR="0030782B" w:rsidRPr="00AB2E97" w:rsidRDefault="0030782B" w:rsidP="0030782B">
      <w:pPr>
        <w:jc w:val="both"/>
        <w:rPr>
          <w:rFonts w:ascii="Arial" w:hAnsi="Arial" w:cs="Arial"/>
          <w:color w:val="000000"/>
          <w:sz w:val="18"/>
          <w:szCs w:val="18"/>
        </w:rPr>
      </w:pPr>
      <w:r w:rsidRPr="00AB2E97">
        <w:rPr>
          <w:rFonts w:ascii="Arial" w:hAnsi="Arial" w:cs="Arial"/>
          <w:color w:val="000000"/>
          <w:sz w:val="18"/>
          <w:szCs w:val="18"/>
        </w:rPr>
        <w:t>Kurulduğu 2008 yılından bu yana "</w:t>
      </w:r>
      <w:proofErr w:type="spellStart"/>
      <w:r w:rsidRPr="00AB2E97">
        <w:rPr>
          <w:rFonts w:ascii="Arial" w:hAnsi="Arial" w:cs="Arial"/>
          <w:color w:val="000000"/>
          <w:sz w:val="18"/>
          <w:szCs w:val="18"/>
        </w:rPr>
        <w:t>Think</w:t>
      </w:r>
      <w:proofErr w:type="spellEnd"/>
      <w:r w:rsidRPr="00AB2E97">
        <w:rPr>
          <w:rFonts w:ascii="Arial" w:hAnsi="Arial" w:cs="Arial"/>
          <w:color w:val="000000"/>
          <w:sz w:val="18"/>
          <w:szCs w:val="18"/>
        </w:rPr>
        <w:t xml:space="preserve"> Global — Küresel Düşün" mottosuyla Türkiye'de fuarcılık sektörüne yön veren TG Expo Uluslararası Fuarcılık A.Ş., uluslararası deneyimlere sahip güçlü kadrosuyla sektörün gelişimine destek veriyor. Dünyanın en büyük fuar organizatörlerinin uluslararası çatı derneği olan UFI ve dünya çapındaki kongre ve uluslararası toplantılar sektörünün en önemli birliklerinden biri olan </w:t>
      </w:r>
      <w:proofErr w:type="spellStart"/>
      <w:r w:rsidRPr="00AB2E97">
        <w:rPr>
          <w:rFonts w:ascii="Arial" w:hAnsi="Arial" w:cs="Arial"/>
          <w:color w:val="000000"/>
          <w:sz w:val="18"/>
          <w:szCs w:val="18"/>
        </w:rPr>
        <w:t>ICCA'ya</w:t>
      </w:r>
      <w:proofErr w:type="spellEnd"/>
      <w:r w:rsidRPr="00AB2E97">
        <w:rPr>
          <w:rFonts w:ascii="Arial" w:hAnsi="Arial" w:cs="Arial"/>
          <w:color w:val="000000"/>
          <w:sz w:val="18"/>
          <w:szCs w:val="18"/>
        </w:rPr>
        <w:t xml:space="preserve"> üye olan TG Expo, aynı zamanda T.C. Ticaret Bakanlığına da akredite olup yurt dışı fuarların millî katılım organizasyonlarını da gerçekleştirmeye yetkilidir. 5 kıtada 35'ten fazla ülkede bireysel ya da millî katılım organizasyonları ve Türkiye'de ana organizatörlüğünü üstlendiği fuarlar ile Türk firmalarının uluslararası pazarlarda ürünlerini tanıtmalarına ve ticaret hacimlerini genişletmelerine destek oluyor. Enerji, gıda, kozmetik, tekstil, mermer, otomotiv yan sanayi, yapı-inşaat, restorasyon, müzecilik, otel-konaklama gibi sektörlerde dünyanın en önemli uluslararası fuarlarının Türkiye katılımını üstlenen TG Expo, fuara kadar olan tüm süreçlerde danışmanlık, teşviklerle ilgili bilgilendirme ve takip, nakliye, konaklama, seyahat ve vize alımına ilişkin bilgilendirme ve yönlendirme hizmeti de sağlıyor. Fuarcılık alanında profesyonel ekibiyle ihracatçı firmalara uluslararası standartlarda fuarcılık deneyimi sunar. Türkiye'de birçok ilki gerçekleştirmiş olan TG Expo; </w:t>
      </w:r>
      <w:proofErr w:type="spellStart"/>
      <w:r w:rsidRPr="00AB2E97">
        <w:rPr>
          <w:rFonts w:ascii="Arial" w:hAnsi="Arial" w:cs="Arial"/>
          <w:color w:val="000000"/>
          <w:sz w:val="18"/>
          <w:szCs w:val="18"/>
        </w:rPr>
        <w:t>Güzellik&amp;Bakım</w:t>
      </w:r>
      <w:proofErr w:type="spellEnd"/>
      <w:r w:rsidRPr="00AB2E97">
        <w:rPr>
          <w:rFonts w:ascii="Arial" w:hAnsi="Arial" w:cs="Arial"/>
          <w:color w:val="000000"/>
          <w:sz w:val="18"/>
          <w:szCs w:val="18"/>
        </w:rPr>
        <w:t xml:space="preserve">, </w:t>
      </w:r>
      <w:proofErr w:type="spellStart"/>
      <w:r w:rsidRPr="00AB2E97">
        <w:rPr>
          <w:rFonts w:ascii="Arial" w:hAnsi="Arial" w:cs="Arial"/>
          <w:color w:val="000000"/>
          <w:sz w:val="18"/>
          <w:szCs w:val="18"/>
        </w:rPr>
        <w:t>Heritage</w:t>
      </w:r>
      <w:proofErr w:type="spellEnd"/>
      <w:r w:rsidRPr="00AB2E97">
        <w:rPr>
          <w:rFonts w:ascii="Arial" w:hAnsi="Arial" w:cs="Arial"/>
          <w:color w:val="000000"/>
          <w:sz w:val="18"/>
          <w:szCs w:val="18"/>
        </w:rPr>
        <w:t xml:space="preserve"> İstanbul, </w:t>
      </w:r>
      <w:proofErr w:type="spellStart"/>
      <w:r w:rsidRPr="00AB2E97">
        <w:rPr>
          <w:rFonts w:ascii="Arial" w:hAnsi="Arial" w:cs="Arial"/>
          <w:color w:val="000000"/>
          <w:sz w:val="18"/>
          <w:szCs w:val="18"/>
        </w:rPr>
        <w:t>Heritage</w:t>
      </w:r>
      <w:proofErr w:type="spellEnd"/>
      <w:r w:rsidRPr="00AB2E97">
        <w:rPr>
          <w:rFonts w:ascii="Arial" w:hAnsi="Arial" w:cs="Arial"/>
          <w:color w:val="000000"/>
          <w:sz w:val="18"/>
          <w:szCs w:val="18"/>
        </w:rPr>
        <w:t xml:space="preserve"> </w:t>
      </w:r>
      <w:proofErr w:type="spellStart"/>
      <w:r w:rsidRPr="00AB2E97">
        <w:rPr>
          <w:rFonts w:ascii="Arial" w:hAnsi="Arial" w:cs="Arial"/>
          <w:color w:val="000000"/>
          <w:sz w:val="18"/>
          <w:szCs w:val="18"/>
        </w:rPr>
        <w:t>Middle</w:t>
      </w:r>
      <w:proofErr w:type="spellEnd"/>
      <w:r w:rsidRPr="00AB2E97">
        <w:rPr>
          <w:rFonts w:ascii="Arial" w:hAnsi="Arial" w:cs="Arial"/>
          <w:color w:val="000000"/>
          <w:sz w:val="18"/>
          <w:szCs w:val="18"/>
        </w:rPr>
        <w:t xml:space="preserve"> East, İstanbul Art Show, ICCI, UNICERA gibi birçok uluslararası markanın sahibidir.</w:t>
      </w:r>
    </w:p>
    <w:p w14:paraId="22323541" w14:textId="77777777" w:rsidR="00460C45" w:rsidRPr="00F8468C" w:rsidRDefault="00460C45" w:rsidP="00460C45">
      <w:pPr>
        <w:pStyle w:val="AralkYok1"/>
        <w:spacing w:line="276" w:lineRule="auto"/>
        <w:jc w:val="both"/>
        <w:rPr>
          <w:rFonts w:ascii="Arial" w:eastAsia="Times New Roman" w:hAnsi="Arial" w:cs="Arial"/>
          <w:b/>
          <w:bCs/>
          <w:sz w:val="16"/>
          <w:szCs w:val="16"/>
        </w:rPr>
      </w:pPr>
      <w:hyperlink r:id="rId8" w:history="1">
        <w:r w:rsidRPr="00F8468C">
          <w:rPr>
            <w:rStyle w:val="Kpr"/>
            <w:rFonts w:ascii="Arial" w:eastAsia="Times New Roman" w:hAnsi="Arial" w:cs="Arial"/>
            <w:b/>
            <w:bCs/>
            <w:sz w:val="16"/>
            <w:szCs w:val="16"/>
          </w:rPr>
          <w:t>Basın bültenlerimizi indirmek için buraya tıklayınız…</w:t>
        </w:r>
      </w:hyperlink>
    </w:p>
    <w:p w14:paraId="7B31CC9C" w14:textId="77777777" w:rsidR="00460C45" w:rsidRPr="00F8468C" w:rsidRDefault="00460C45" w:rsidP="00460C45">
      <w:pPr>
        <w:jc w:val="both"/>
        <w:rPr>
          <w:rFonts w:ascii="Arial" w:eastAsia="Arial" w:hAnsi="Arial" w:cs="Arial"/>
          <w:b/>
          <w:sz w:val="18"/>
          <w:szCs w:val="18"/>
          <w:u w:val="single"/>
        </w:rPr>
      </w:pPr>
      <w:r w:rsidRPr="00F8468C">
        <w:rPr>
          <w:rFonts w:ascii="Arial" w:eastAsia="Arial" w:hAnsi="Arial" w:cs="Arial"/>
          <w:b/>
          <w:sz w:val="18"/>
          <w:szCs w:val="18"/>
          <w:u w:val="single"/>
        </w:rPr>
        <w:t xml:space="preserve">Bilgi için: </w:t>
      </w:r>
    </w:p>
    <w:p w14:paraId="4083803F" w14:textId="77777777" w:rsidR="00460C45" w:rsidRPr="00F8468C" w:rsidRDefault="00460C45" w:rsidP="00460C45">
      <w:pPr>
        <w:spacing w:after="0" w:line="240" w:lineRule="auto"/>
        <w:jc w:val="both"/>
        <w:rPr>
          <w:rFonts w:ascii="Arial" w:eastAsia="Arial" w:hAnsi="Arial" w:cs="Arial"/>
          <w:b/>
          <w:sz w:val="18"/>
          <w:szCs w:val="18"/>
        </w:rPr>
      </w:pPr>
      <w:r w:rsidRPr="00F8468C">
        <w:rPr>
          <w:rFonts w:ascii="Arial" w:eastAsia="Arial" w:hAnsi="Arial" w:cs="Arial"/>
          <w:b/>
          <w:sz w:val="18"/>
          <w:szCs w:val="18"/>
        </w:rPr>
        <w:t xml:space="preserve">Türkiye Hazır Beton Birliği </w:t>
      </w:r>
    </w:p>
    <w:p w14:paraId="0FDBC93B" w14:textId="77777777" w:rsidR="00460C45" w:rsidRPr="00F8468C" w:rsidRDefault="00460C45" w:rsidP="00460C45">
      <w:pPr>
        <w:spacing w:after="0" w:line="240" w:lineRule="auto"/>
        <w:jc w:val="both"/>
        <w:rPr>
          <w:rFonts w:ascii="Arial" w:eastAsia="Arial" w:hAnsi="Arial" w:cs="Arial"/>
          <w:sz w:val="18"/>
          <w:szCs w:val="18"/>
        </w:rPr>
      </w:pPr>
      <w:r w:rsidRPr="00F8468C">
        <w:rPr>
          <w:rFonts w:ascii="Arial" w:eastAsia="Arial" w:hAnsi="Arial" w:cs="Arial"/>
          <w:b/>
          <w:sz w:val="18"/>
          <w:szCs w:val="18"/>
        </w:rPr>
        <w:t>Kurumsal İletişim</w:t>
      </w:r>
    </w:p>
    <w:p w14:paraId="7DC395D3" w14:textId="77777777" w:rsidR="00460C45" w:rsidRPr="00F8468C" w:rsidRDefault="00460C45" w:rsidP="00460C45">
      <w:pPr>
        <w:spacing w:after="0" w:line="240" w:lineRule="auto"/>
        <w:jc w:val="both"/>
        <w:rPr>
          <w:rFonts w:ascii="Arial" w:eastAsia="Arial" w:hAnsi="Arial" w:cs="Arial"/>
          <w:sz w:val="18"/>
          <w:szCs w:val="18"/>
        </w:rPr>
      </w:pPr>
      <w:r w:rsidRPr="00F8468C">
        <w:rPr>
          <w:rFonts w:ascii="Arial" w:eastAsia="Arial" w:hAnsi="Arial" w:cs="Arial"/>
          <w:sz w:val="18"/>
          <w:szCs w:val="18"/>
        </w:rPr>
        <w:t>Hakan Zengin / 0216 322 96 70 / hakan.zengin@thbb.org</w:t>
      </w:r>
    </w:p>
    <w:p w14:paraId="5357C519" w14:textId="2EC35C2F" w:rsidR="00460C45" w:rsidRPr="00F8468C" w:rsidRDefault="007167C9" w:rsidP="00460C45">
      <w:pPr>
        <w:spacing w:after="0" w:line="240" w:lineRule="auto"/>
        <w:jc w:val="both"/>
        <w:rPr>
          <w:rFonts w:ascii="Arial" w:hAnsi="Arial" w:cs="Arial"/>
        </w:rPr>
      </w:pPr>
      <w:r w:rsidRPr="00F8468C">
        <w:rPr>
          <w:rFonts w:ascii="Arial" w:eastAsia="Arial" w:hAnsi="Arial" w:cs="Arial"/>
          <w:sz w:val="18"/>
          <w:szCs w:val="18"/>
        </w:rPr>
        <w:t>Pınar Taşkın</w:t>
      </w:r>
      <w:r w:rsidR="00460C45" w:rsidRPr="00F8468C">
        <w:rPr>
          <w:rFonts w:ascii="Arial" w:eastAsia="Arial" w:hAnsi="Arial" w:cs="Arial"/>
          <w:sz w:val="18"/>
          <w:szCs w:val="18"/>
        </w:rPr>
        <w:t xml:space="preserve"> / 0216 322 96 70 / </w:t>
      </w:r>
      <w:r w:rsidRPr="00F8468C">
        <w:rPr>
          <w:rFonts w:ascii="Arial" w:eastAsia="Arial" w:hAnsi="Arial" w:cs="Arial"/>
          <w:sz w:val="18"/>
          <w:szCs w:val="18"/>
        </w:rPr>
        <w:t>pinar.taskin</w:t>
      </w:r>
      <w:r w:rsidR="00460C45" w:rsidRPr="00F8468C">
        <w:rPr>
          <w:rFonts w:ascii="Arial" w:eastAsia="Arial" w:hAnsi="Arial" w:cs="Arial"/>
          <w:sz w:val="18"/>
          <w:szCs w:val="18"/>
        </w:rPr>
        <w:t>@thbb.org</w:t>
      </w:r>
    </w:p>
    <w:p w14:paraId="4D310F30" w14:textId="63EB83DF" w:rsidR="00496B73" w:rsidRPr="00F8468C" w:rsidRDefault="00496B73" w:rsidP="000F58F5">
      <w:pPr>
        <w:tabs>
          <w:tab w:val="left" w:pos="567"/>
          <w:tab w:val="left" w:pos="6096"/>
          <w:tab w:val="left" w:pos="8931"/>
          <w:tab w:val="left" w:pos="9072"/>
        </w:tabs>
        <w:spacing w:line="240" w:lineRule="auto"/>
        <w:ind w:right="128"/>
        <w:jc w:val="both"/>
        <w:rPr>
          <w:rFonts w:ascii="Arial" w:hAnsi="Arial" w:cs="Arial"/>
        </w:rPr>
      </w:pPr>
    </w:p>
    <w:sectPr w:rsidR="00496B73" w:rsidRPr="00F8468C" w:rsidSect="00B67BDC">
      <w:headerReference w:type="default" r:id="rId9"/>
      <w:footerReference w:type="default" r:id="rId10"/>
      <w:pgSz w:w="11906" w:h="16838"/>
      <w:pgMar w:top="1417" w:right="1416" w:bottom="1417" w:left="1560" w:header="0" w:footer="4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A3910" w14:textId="77777777" w:rsidR="00DA61F5" w:rsidRDefault="00DA61F5" w:rsidP="007D7AC1">
      <w:pPr>
        <w:spacing w:after="0" w:line="240" w:lineRule="auto"/>
      </w:pPr>
      <w:r>
        <w:separator/>
      </w:r>
    </w:p>
  </w:endnote>
  <w:endnote w:type="continuationSeparator" w:id="0">
    <w:p w14:paraId="1AC29212" w14:textId="77777777" w:rsidR="00DA61F5" w:rsidRDefault="00DA61F5" w:rsidP="007D7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DF96" w14:textId="3F77EDAE" w:rsidR="007D7AC1" w:rsidRDefault="00D717D6" w:rsidP="00B5369B">
    <w:pPr>
      <w:pStyle w:val="AltBilgi"/>
      <w:ind w:left="-1276" w:firstLine="283"/>
    </w:pPr>
    <w:r>
      <w:rPr>
        <w:noProof/>
        <w:lang w:eastAsia="tr-TR"/>
      </w:rPr>
      <w:drawing>
        <wp:inline distT="0" distB="0" distL="0" distR="0" wp14:anchorId="76E5F650" wp14:editId="1449A6B1">
          <wp:extent cx="6562270" cy="845820"/>
          <wp:effectExtent l="0" t="0" r="0" b="0"/>
          <wp:docPr id="91690333"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90333" name="Resim 91690333"/>
                  <pic:cNvPicPr/>
                </pic:nvPicPr>
                <pic:blipFill>
                  <a:blip r:embed="rId1">
                    <a:extLst>
                      <a:ext uri="{28A0092B-C50C-407E-A947-70E740481C1C}">
                        <a14:useLocalDpi xmlns:a14="http://schemas.microsoft.com/office/drawing/2010/main" val="0"/>
                      </a:ext>
                    </a:extLst>
                  </a:blip>
                  <a:stretch>
                    <a:fillRect/>
                  </a:stretch>
                </pic:blipFill>
                <pic:spPr>
                  <a:xfrm>
                    <a:off x="0" y="0"/>
                    <a:ext cx="6564545" cy="846113"/>
                  </a:xfrm>
                  <a:prstGeom prst="rect">
                    <a:avLst/>
                  </a:prstGeom>
                </pic:spPr>
              </pic:pic>
            </a:graphicData>
          </a:graphic>
        </wp:inline>
      </w:drawing>
    </w:r>
    <w:r w:rsidR="007D7AC1">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8E4FF" w14:textId="77777777" w:rsidR="00DA61F5" w:rsidRDefault="00DA61F5" w:rsidP="007D7AC1">
      <w:pPr>
        <w:spacing w:after="0" w:line="240" w:lineRule="auto"/>
      </w:pPr>
      <w:r>
        <w:separator/>
      </w:r>
    </w:p>
  </w:footnote>
  <w:footnote w:type="continuationSeparator" w:id="0">
    <w:p w14:paraId="046C73B0" w14:textId="77777777" w:rsidR="00DA61F5" w:rsidRDefault="00DA61F5" w:rsidP="007D7A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ED7E5" w14:textId="5EEB909E" w:rsidR="007D7AC1" w:rsidRDefault="00E6142E" w:rsidP="00496B73">
    <w:pPr>
      <w:pStyle w:val="stBilgi"/>
      <w:ind w:hanging="1560"/>
    </w:pPr>
    <w:r>
      <w:rPr>
        <w:noProof/>
        <w:lang w:eastAsia="tr-TR"/>
      </w:rPr>
      <w:drawing>
        <wp:inline distT="0" distB="0" distL="0" distR="0" wp14:anchorId="0E17F03B" wp14:editId="03764243">
          <wp:extent cx="7540422" cy="1257300"/>
          <wp:effectExtent l="0" t="0" r="3810" b="0"/>
          <wp:docPr id="1952837027"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837027" name="Resim 1952837027"/>
                  <pic:cNvPicPr/>
                </pic:nvPicPr>
                <pic:blipFill>
                  <a:blip r:embed="rId1">
                    <a:extLst>
                      <a:ext uri="{28A0092B-C50C-407E-A947-70E740481C1C}">
                        <a14:useLocalDpi xmlns:a14="http://schemas.microsoft.com/office/drawing/2010/main" val="0"/>
                      </a:ext>
                    </a:extLst>
                  </a:blip>
                  <a:stretch>
                    <a:fillRect/>
                  </a:stretch>
                </pic:blipFill>
                <pic:spPr>
                  <a:xfrm>
                    <a:off x="0" y="0"/>
                    <a:ext cx="7545964" cy="12582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C750A4"/>
    <w:multiLevelType w:val="hybridMultilevel"/>
    <w:tmpl w:val="319A4B44"/>
    <w:lvl w:ilvl="0" w:tplc="2DC41EBA">
      <w:start w:val="15"/>
      <w:numFmt w:val="bullet"/>
      <w:lvlText w:val="-"/>
      <w:lvlJc w:val="left"/>
      <w:pPr>
        <w:ind w:left="720" w:hanging="360"/>
      </w:pPr>
      <w:rPr>
        <w:rFonts w:ascii="Aptos" w:eastAsiaTheme="minorHAnsi" w:hAnsi="Aptos"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969090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1945"/>
    <w:rsid w:val="000160F4"/>
    <w:rsid w:val="00020169"/>
    <w:rsid w:val="00037602"/>
    <w:rsid w:val="0004504E"/>
    <w:rsid w:val="0006169F"/>
    <w:rsid w:val="000849AE"/>
    <w:rsid w:val="00095547"/>
    <w:rsid w:val="000B3DDC"/>
    <w:rsid w:val="000B7A44"/>
    <w:rsid w:val="000F58F5"/>
    <w:rsid w:val="00115ADA"/>
    <w:rsid w:val="001304F0"/>
    <w:rsid w:val="00137FF2"/>
    <w:rsid w:val="0016644F"/>
    <w:rsid w:val="00171317"/>
    <w:rsid w:val="001C650F"/>
    <w:rsid w:val="00201945"/>
    <w:rsid w:val="00207E9E"/>
    <w:rsid w:val="00227F9C"/>
    <w:rsid w:val="00230769"/>
    <w:rsid w:val="00233235"/>
    <w:rsid w:val="00250B9B"/>
    <w:rsid w:val="00255239"/>
    <w:rsid w:val="00264AE2"/>
    <w:rsid w:val="002A6159"/>
    <w:rsid w:val="002B5593"/>
    <w:rsid w:val="002B7AE1"/>
    <w:rsid w:val="002D143E"/>
    <w:rsid w:val="0030782B"/>
    <w:rsid w:val="0034092E"/>
    <w:rsid w:val="00357AB1"/>
    <w:rsid w:val="003C403F"/>
    <w:rsid w:val="003E3287"/>
    <w:rsid w:val="003E3FBB"/>
    <w:rsid w:val="003E4D9C"/>
    <w:rsid w:val="003E50D1"/>
    <w:rsid w:val="003E651D"/>
    <w:rsid w:val="004148F2"/>
    <w:rsid w:val="00417A16"/>
    <w:rsid w:val="00452BFA"/>
    <w:rsid w:val="00460C45"/>
    <w:rsid w:val="004850C1"/>
    <w:rsid w:val="004936DD"/>
    <w:rsid w:val="00496B73"/>
    <w:rsid w:val="004C7784"/>
    <w:rsid w:val="005026F6"/>
    <w:rsid w:val="0050298B"/>
    <w:rsid w:val="005422F3"/>
    <w:rsid w:val="00546CF7"/>
    <w:rsid w:val="0058019C"/>
    <w:rsid w:val="005872EF"/>
    <w:rsid w:val="005960C4"/>
    <w:rsid w:val="005E10C1"/>
    <w:rsid w:val="006064D6"/>
    <w:rsid w:val="0060743C"/>
    <w:rsid w:val="00624143"/>
    <w:rsid w:val="00627C12"/>
    <w:rsid w:val="006367A2"/>
    <w:rsid w:val="006539C1"/>
    <w:rsid w:val="006973BF"/>
    <w:rsid w:val="006D4DFE"/>
    <w:rsid w:val="00707A0C"/>
    <w:rsid w:val="007167C9"/>
    <w:rsid w:val="00724EE9"/>
    <w:rsid w:val="00745EF4"/>
    <w:rsid w:val="007605A6"/>
    <w:rsid w:val="00776C85"/>
    <w:rsid w:val="007836DA"/>
    <w:rsid w:val="007D7AC1"/>
    <w:rsid w:val="008407F2"/>
    <w:rsid w:val="00866E74"/>
    <w:rsid w:val="008C49C3"/>
    <w:rsid w:val="008C52A2"/>
    <w:rsid w:val="008E55B0"/>
    <w:rsid w:val="00905DCB"/>
    <w:rsid w:val="009070CC"/>
    <w:rsid w:val="00920A8B"/>
    <w:rsid w:val="009211B7"/>
    <w:rsid w:val="0095169A"/>
    <w:rsid w:val="009F099E"/>
    <w:rsid w:val="009F6DA7"/>
    <w:rsid w:val="00A139FA"/>
    <w:rsid w:val="00A15A3F"/>
    <w:rsid w:val="00A33F94"/>
    <w:rsid w:val="00A351D2"/>
    <w:rsid w:val="00AA2E71"/>
    <w:rsid w:val="00AA756E"/>
    <w:rsid w:val="00AB09B0"/>
    <w:rsid w:val="00AB2E97"/>
    <w:rsid w:val="00B22303"/>
    <w:rsid w:val="00B4373E"/>
    <w:rsid w:val="00B5369B"/>
    <w:rsid w:val="00B54612"/>
    <w:rsid w:val="00B56058"/>
    <w:rsid w:val="00B67BDC"/>
    <w:rsid w:val="00B80798"/>
    <w:rsid w:val="00BA4B44"/>
    <w:rsid w:val="00BF103A"/>
    <w:rsid w:val="00BF4B3A"/>
    <w:rsid w:val="00C170EE"/>
    <w:rsid w:val="00C440B8"/>
    <w:rsid w:val="00C53959"/>
    <w:rsid w:val="00C740BC"/>
    <w:rsid w:val="00C752F6"/>
    <w:rsid w:val="00CA6AFC"/>
    <w:rsid w:val="00CC0F7A"/>
    <w:rsid w:val="00CC154C"/>
    <w:rsid w:val="00CC557E"/>
    <w:rsid w:val="00CD00C2"/>
    <w:rsid w:val="00CD788B"/>
    <w:rsid w:val="00D271C1"/>
    <w:rsid w:val="00D54123"/>
    <w:rsid w:val="00D717D6"/>
    <w:rsid w:val="00D82F26"/>
    <w:rsid w:val="00DA61F5"/>
    <w:rsid w:val="00DB3A89"/>
    <w:rsid w:val="00DC1D96"/>
    <w:rsid w:val="00DF42E2"/>
    <w:rsid w:val="00E410C4"/>
    <w:rsid w:val="00E556B1"/>
    <w:rsid w:val="00E6142E"/>
    <w:rsid w:val="00E75E03"/>
    <w:rsid w:val="00EA5C44"/>
    <w:rsid w:val="00EE2FF1"/>
    <w:rsid w:val="00F50071"/>
    <w:rsid w:val="00F8468C"/>
    <w:rsid w:val="00FA1E88"/>
    <w:rsid w:val="00FD18BC"/>
    <w:rsid w:val="00FD6D6B"/>
    <w:rsid w:val="00FD768A"/>
    <w:rsid w:val="00FE3B22"/>
  </w:rsids>
  <m:mathPr>
    <m:mathFont m:val="Cambria Math"/>
    <m:brkBin m:val="before"/>
    <m:brkBinSub m:val="--"/>
    <m:smallFrac m:val="0"/>
    <m:dispDef/>
    <m:lMargin m:val="0"/>
    <m:rMargin m:val="0"/>
    <m:defJc m:val="centerGroup"/>
    <m:wrapIndent m:val="1440"/>
    <m:intLim m:val="subSup"/>
    <m:naryLim m:val="undOvr"/>
  </m:mathPr>
  <w:themeFontLang w:val="tr-T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CA4A4"/>
  <w15:docId w15:val="{ABE95502-44B2-428D-BF85-7A08FEC6C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B73"/>
  </w:style>
  <w:style w:type="paragraph" w:styleId="Balk1">
    <w:name w:val="heading 1"/>
    <w:basedOn w:val="Normal"/>
    <w:next w:val="Normal"/>
    <w:link w:val="Balk1Char"/>
    <w:uiPriority w:val="9"/>
    <w:qFormat/>
    <w:rsid w:val="002019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019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0194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0194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0194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0194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0194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0194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0194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0194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0194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0194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0194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0194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0194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0194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0194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01945"/>
    <w:rPr>
      <w:rFonts w:eastAsiaTheme="majorEastAsia" w:cstheme="majorBidi"/>
      <w:color w:val="272727" w:themeColor="text1" w:themeTint="D8"/>
    </w:rPr>
  </w:style>
  <w:style w:type="paragraph" w:styleId="KonuBal">
    <w:name w:val="Title"/>
    <w:basedOn w:val="Normal"/>
    <w:next w:val="Normal"/>
    <w:link w:val="KonuBalChar"/>
    <w:uiPriority w:val="10"/>
    <w:qFormat/>
    <w:rsid w:val="002019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0194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0194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0194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0194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01945"/>
    <w:rPr>
      <w:i/>
      <w:iCs/>
      <w:color w:val="404040" w:themeColor="text1" w:themeTint="BF"/>
    </w:rPr>
  </w:style>
  <w:style w:type="paragraph" w:styleId="ListeParagraf">
    <w:name w:val="List Paragraph"/>
    <w:basedOn w:val="Normal"/>
    <w:uiPriority w:val="34"/>
    <w:qFormat/>
    <w:rsid w:val="00201945"/>
    <w:pPr>
      <w:ind w:left="720"/>
      <w:contextualSpacing/>
    </w:pPr>
  </w:style>
  <w:style w:type="character" w:styleId="GlVurgulama">
    <w:name w:val="Intense Emphasis"/>
    <w:basedOn w:val="VarsaylanParagrafYazTipi"/>
    <w:uiPriority w:val="21"/>
    <w:qFormat/>
    <w:rsid w:val="00201945"/>
    <w:rPr>
      <w:i/>
      <w:iCs/>
      <w:color w:val="0F4761" w:themeColor="accent1" w:themeShade="BF"/>
    </w:rPr>
  </w:style>
  <w:style w:type="paragraph" w:styleId="GlAlnt">
    <w:name w:val="Intense Quote"/>
    <w:basedOn w:val="Normal"/>
    <w:next w:val="Normal"/>
    <w:link w:val="GlAlntChar"/>
    <w:uiPriority w:val="30"/>
    <w:qFormat/>
    <w:rsid w:val="002019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01945"/>
    <w:rPr>
      <w:i/>
      <w:iCs/>
      <w:color w:val="0F4761" w:themeColor="accent1" w:themeShade="BF"/>
    </w:rPr>
  </w:style>
  <w:style w:type="character" w:styleId="GlBavuru">
    <w:name w:val="Intense Reference"/>
    <w:basedOn w:val="VarsaylanParagrafYazTipi"/>
    <w:uiPriority w:val="32"/>
    <w:qFormat/>
    <w:rsid w:val="00201945"/>
    <w:rPr>
      <w:b/>
      <w:bCs/>
      <w:smallCaps/>
      <w:color w:val="0F4761" w:themeColor="accent1" w:themeShade="BF"/>
      <w:spacing w:val="5"/>
    </w:rPr>
  </w:style>
  <w:style w:type="paragraph" w:styleId="stBilgi">
    <w:name w:val="header"/>
    <w:basedOn w:val="Normal"/>
    <w:link w:val="stBilgiChar"/>
    <w:uiPriority w:val="99"/>
    <w:unhideWhenUsed/>
    <w:rsid w:val="007D7AC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D7AC1"/>
  </w:style>
  <w:style w:type="paragraph" w:styleId="AltBilgi">
    <w:name w:val="footer"/>
    <w:basedOn w:val="Normal"/>
    <w:link w:val="AltBilgiChar"/>
    <w:uiPriority w:val="99"/>
    <w:unhideWhenUsed/>
    <w:rsid w:val="007D7AC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D7AC1"/>
  </w:style>
  <w:style w:type="character" w:styleId="Kpr">
    <w:name w:val="Hyperlink"/>
    <w:unhideWhenUsed/>
    <w:rsid w:val="007836DA"/>
    <w:rPr>
      <w:color w:val="0000FF"/>
      <w:u w:val="single"/>
    </w:rPr>
  </w:style>
  <w:style w:type="character" w:customStyle="1" w:styleId="zmlenmeyenBahsetme1">
    <w:name w:val="Çözümlenmeyen Bahsetme1"/>
    <w:basedOn w:val="VarsaylanParagrafYazTipi"/>
    <w:uiPriority w:val="99"/>
    <w:semiHidden/>
    <w:unhideWhenUsed/>
    <w:rsid w:val="005422F3"/>
    <w:rPr>
      <w:color w:val="605E5C"/>
      <w:shd w:val="clear" w:color="auto" w:fill="E1DFDD"/>
    </w:rPr>
  </w:style>
  <w:style w:type="paragraph" w:styleId="BalonMetni">
    <w:name w:val="Balloon Text"/>
    <w:basedOn w:val="Normal"/>
    <w:link w:val="BalonMetniChar"/>
    <w:uiPriority w:val="99"/>
    <w:semiHidden/>
    <w:unhideWhenUsed/>
    <w:rsid w:val="00460C4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60C45"/>
    <w:rPr>
      <w:rFonts w:ascii="Tahoma" w:hAnsi="Tahoma" w:cs="Tahoma"/>
      <w:sz w:val="16"/>
      <w:szCs w:val="16"/>
    </w:rPr>
  </w:style>
  <w:style w:type="paragraph" w:customStyle="1" w:styleId="AralkYok1">
    <w:name w:val="Aralık Yok1"/>
    <w:uiPriority w:val="1"/>
    <w:qFormat/>
    <w:rsid w:val="00460C45"/>
    <w:pPr>
      <w:spacing w:after="200" w:line="240" w:lineRule="auto"/>
    </w:pPr>
    <w:rPr>
      <w:rFonts w:ascii="Calibri" w:eastAsia="Calibri" w:hAnsi="Calibri" w:cs="Times New Roman"/>
      <w:kern w:val="0"/>
      <w:sz w:val="22"/>
      <w:szCs w:val="22"/>
      <w:lang w:eastAsia="tr-TR"/>
      <w14:ligatures w14:val="none"/>
    </w:rPr>
  </w:style>
  <w:style w:type="character" w:styleId="Gl">
    <w:name w:val="Strong"/>
    <w:uiPriority w:val="22"/>
    <w:qFormat/>
    <w:rsid w:val="00460C45"/>
    <w:rPr>
      <w:rFonts w:cs="Times New Roman"/>
      <w:b/>
      <w:bCs/>
    </w:rPr>
  </w:style>
  <w:style w:type="character" w:customStyle="1" w:styleId="fontstyle01">
    <w:name w:val="fontstyle01"/>
    <w:rsid w:val="00460C45"/>
    <w:rPr>
      <w:rFonts w:ascii="TimesNewRomanPSMT" w:hAnsi="TimesNewRomanPSMT" w:hint="default"/>
      <w:b w:val="0"/>
      <w:bCs w:val="0"/>
      <w:i w:val="0"/>
      <w:iCs w:val="0"/>
      <w:color w:val="000000"/>
      <w:sz w:val="26"/>
      <w:szCs w:val="26"/>
    </w:rPr>
  </w:style>
  <w:style w:type="character" w:customStyle="1" w:styleId="fontstyle21">
    <w:name w:val="fontstyle21"/>
    <w:rsid w:val="00460C45"/>
    <w:rPr>
      <w:rFonts w:ascii="TimesNewRomanPS-BoldMT" w:hAnsi="TimesNewRomanPS-BoldMT" w:hint="default"/>
      <w:b/>
      <w:bCs/>
      <w:i w:val="0"/>
      <w:iCs w:val="0"/>
      <w:color w:val="000000"/>
      <w:sz w:val="26"/>
      <w:szCs w:val="26"/>
    </w:rPr>
  </w:style>
  <w:style w:type="paragraph" w:styleId="Dzeltme">
    <w:name w:val="Revision"/>
    <w:hidden/>
    <w:uiPriority w:val="99"/>
    <w:semiHidden/>
    <w:rsid w:val="00255239"/>
    <w:pPr>
      <w:spacing w:after="0" w:line="240" w:lineRule="auto"/>
    </w:pPr>
  </w:style>
  <w:style w:type="character" w:customStyle="1" w:styleId="zmlenmeyenBahsetme2">
    <w:name w:val="Çözümlenmeyen Bahsetme2"/>
    <w:basedOn w:val="VarsaylanParagrafYazTipi"/>
    <w:uiPriority w:val="99"/>
    <w:semiHidden/>
    <w:unhideWhenUsed/>
    <w:rsid w:val="00B56058"/>
    <w:rPr>
      <w:color w:val="605E5C"/>
      <w:shd w:val="clear" w:color="auto" w:fill="E1DFDD"/>
    </w:rPr>
  </w:style>
  <w:style w:type="character" w:styleId="AklamaBavurusu">
    <w:name w:val="annotation reference"/>
    <w:basedOn w:val="VarsaylanParagrafYazTipi"/>
    <w:uiPriority w:val="99"/>
    <w:semiHidden/>
    <w:unhideWhenUsed/>
    <w:rsid w:val="00B22303"/>
    <w:rPr>
      <w:sz w:val="16"/>
      <w:szCs w:val="16"/>
    </w:rPr>
  </w:style>
  <w:style w:type="paragraph" w:styleId="AklamaMetni">
    <w:name w:val="annotation text"/>
    <w:basedOn w:val="Normal"/>
    <w:link w:val="AklamaMetniChar"/>
    <w:uiPriority w:val="99"/>
    <w:unhideWhenUsed/>
    <w:rsid w:val="00B22303"/>
    <w:pPr>
      <w:spacing w:line="240" w:lineRule="auto"/>
    </w:pPr>
    <w:rPr>
      <w:sz w:val="20"/>
      <w:szCs w:val="20"/>
    </w:rPr>
  </w:style>
  <w:style w:type="character" w:customStyle="1" w:styleId="AklamaMetniChar">
    <w:name w:val="Açıklama Metni Char"/>
    <w:basedOn w:val="VarsaylanParagrafYazTipi"/>
    <w:link w:val="AklamaMetni"/>
    <w:uiPriority w:val="99"/>
    <w:rsid w:val="00B22303"/>
    <w:rPr>
      <w:sz w:val="20"/>
      <w:szCs w:val="20"/>
    </w:rPr>
  </w:style>
  <w:style w:type="paragraph" w:styleId="AklamaKonusu">
    <w:name w:val="annotation subject"/>
    <w:basedOn w:val="AklamaMetni"/>
    <w:next w:val="AklamaMetni"/>
    <w:link w:val="AklamaKonusuChar"/>
    <w:uiPriority w:val="99"/>
    <w:semiHidden/>
    <w:unhideWhenUsed/>
    <w:rsid w:val="00B22303"/>
    <w:rPr>
      <w:b/>
      <w:bCs/>
    </w:rPr>
  </w:style>
  <w:style w:type="character" w:customStyle="1" w:styleId="AklamaKonusuChar">
    <w:name w:val="Açıklama Konusu Char"/>
    <w:basedOn w:val="AklamaMetniChar"/>
    <w:link w:val="AklamaKonusu"/>
    <w:uiPriority w:val="99"/>
    <w:semiHidden/>
    <w:rsid w:val="00B2230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113117">
      <w:bodyDiv w:val="1"/>
      <w:marLeft w:val="0"/>
      <w:marRight w:val="0"/>
      <w:marTop w:val="0"/>
      <w:marBottom w:val="0"/>
      <w:divBdr>
        <w:top w:val="none" w:sz="0" w:space="0" w:color="auto"/>
        <w:left w:val="none" w:sz="0" w:space="0" w:color="auto"/>
        <w:bottom w:val="none" w:sz="0" w:space="0" w:color="auto"/>
        <w:right w:val="none" w:sz="0" w:space="0" w:color="auto"/>
      </w:divBdr>
    </w:div>
    <w:div w:id="1312491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bb.org/basin-odasi/" TargetMode="External"/><Relationship Id="rId3" Type="http://schemas.openxmlformats.org/officeDocument/2006/relationships/settings" Target="settings.xml"/><Relationship Id="rId7" Type="http://schemas.openxmlformats.org/officeDocument/2006/relationships/hyperlink" Target="http://www.betonfuarivekongresi.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1157</Words>
  <Characters>6599</Characters>
  <Application>Microsoft Office Word</Application>
  <DocSecurity>0</DocSecurity>
  <Lines>54</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Stajter</dc:creator>
  <cp:lastModifiedBy>Eray ÖZCAN</cp:lastModifiedBy>
  <cp:revision>4</cp:revision>
  <cp:lastPrinted>2025-10-03T07:06:00Z</cp:lastPrinted>
  <dcterms:created xsi:type="dcterms:W3CDTF">2026-08-07T13:00:00Z</dcterms:created>
  <dcterms:modified xsi:type="dcterms:W3CDTF">2026-10-02T12:20:00Z</dcterms:modified>
</cp:coreProperties>
</file>